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3588D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UCHWAŁA NR XVIII/141/2020</w:t>
      </w:r>
    </w:p>
    <w:p w14:paraId="2528E6ED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right="2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14:paraId="2D2FD370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right="23"/>
        <w:jc w:val="center"/>
        <w:rPr>
          <w:rFonts w:ascii="Times New Roman" w:hAnsi="Times New Roman"/>
          <w:sz w:val="24"/>
          <w:szCs w:val="24"/>
        </w:rPr>
      </w:pPr>
    </w:p>
    <w:p w14:paraId="1ECF3227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right="2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dnia 31 stycznia 2020 roku</w:t>
      </w:r>
    </w:p>
    <w:p w14:paraId="0DC3BA11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right="23"/>
        <w:rPr>
          <w:rFonts w:ascii="Times New Roman" w:hAnsi="Times New Roman"/>
          <w:sz w:val="24"/>
          <w:szCs w:val="24"/>
        </w:rPr>
      </w:pPr>
    </w:p>
    <w:p w14:paraId="28C5E4FC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right="2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dokonania zmian w Wieloletniej Prognozy Finansowej Gminy Mrocza                                                                                                            na lata 2020-2038</w:t>
      </w:r>
    </w:p>
    <w:p w14:paraId="4AEE63F9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right="23"/>
        <w:rPr>
          <w:rFonts w:ascii="Times New Roman" w:hAnsi="Times New Roman"/>
          <w:sz w:val="24"/>
          <w:szCs w:val="24"/>
        </w:rPr>
      </w:pPr>
    </w:p>
    <w:p w14:paraId="367E2BC9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Na podstawie art. 18 ust. 2 pkt 15 ustawy z dnia 8 marca 1990r. o samorządzie gminnym </w:t>
      </w:r>
      <w:r>
        <w:rPr>
          <w:rFonts w:ascii="Times New Roman" w:hAnsi="Times New Roman"/>
          <w:i/>
          <w:iCs/>
          <w:sz w:val="24"/>
          <w:szCs w:val="24"/>
        </w:rPr>
        <w:br/>
        <w:t xml:space="preserve">(t.j. Dz. U. z 2018r. poz. 994 ze zm.), oraz art. 226, art. 227, art. 228, art. 229, art. 230 ust. </w:t>
      </w:r>
      <w:r>
        <w:rPr>
          <w:rFonts w:ascii="Times New Roman" w:hAnsi="Times New Roman"/>
          <w:i/>
          <w:iCs/>
          <w:sz w:val="24"/>
          <w:szCs w:val="24"/>
        </w:rPr>
        <w:br/>
        <w:t xml:space="preserve">1 i 6 ustawy z dnia 27 sierpnia 2009r.o finansach publicznych ( t.j. Dz.U. z 2019r. poz. 869 </w:t>
      </w:r>
      <w:r>
        <w:rPr>
          <w:rFonts w:ascii="Times New Roman" w:hAnsi="Times New Roman"/>
          <w:i/>
          <w:iCs/>
          <w:sz w:val="24"/>
          <w:szCs w:val="24"/>
        </w:rPr>
        <w:br/>
        <w:t xml:space="preserve">ze zm.)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uchwala się, co następuje:</w:t>
      </w:r>
    </w:p>
    <w:p w14:paraId="2162A02E" w14:textId="77777777" w:rsidR="0082024F" w:rsidRDefault="0082024F" w:rsidP="0082024F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76" w:lineRule="auto"/>
        <w:ind w:right="23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FA7B63D" w14:textId="77777777" w:rsidR="0082024F" w:rsidRDefault="0082024F" w:rsidP="0082024F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 xml:space="preserve"> W Uchwale </w:t>
      </w:r>
      <w:r>
        <w:rPr>
          <w:rFonts w:ascii="Times New Roman" w:hAnsi="Times New Roman"/>
          <w:bCs/>
          <w:sz w:val="24"/>
          <w:szCs w:val="24"/>
        </w:rPr>
        <w:t>Nr XVII/138/2020 Rady Miejskiej w Mroczy z dnia 17 stycznia 2020 roku w sprawie uchwalenia Wieloletniej Prognozy Finansowej Gminy Mrocza                                                                                                            na lata 2020-2038, wprowadza się następujące zmiany:</w:t>
      </w:r>
    </w:p>
    <w:p w14:paraId="40071E79" w14:textId="77777777" w:rsidR="0082024F" w:rsidRDefault="0082024F" w:rsidP="0082024F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76" w:lineRule="auto"/>
        <w:ind w:right="2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Załącznik Nr 1 - Wieloletnia Prognoza Finansowa Gminy Mrocza                                                                                                            na lata 2020-2038 otrzymuje brzmienie, jak w załączniku Nr 1 do niniejszej uchwały;</w:t>
      </w:r>
    </w:p>
    <w:p w14:paraId="6C28D967" w14:textId="77777777" w:rsidR="0082024F" w:rsidRDefault="0082024F" w:rsidP="0082024F">
      <w:pPr>
        <w:tabs>
          <w:tab w:val="left" w:pos="360"/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76" w:lineRule="auto"/>
        <w:ind w:right="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Załącznik Nr 2 - W</w:t>
      </w:r>
      <w:r>
        <w:rPr>
          <w:rFonts w:ascii="Times New Roman" w:hAnsi="Times New Roman"/>
          <w:sz w:val="24"/>
          <w:szCs w:val="24"/>
        </w:rPr>
        <w:t>ykaz przedsięwzięć wieloletnich realizowanych w latach 2020-2028, otrzymuje brzmienie, jak w załączniku Nr 2 do niniejszej uchwały.</w:t>
      </w:r>
    </w:p>
    <w:p w14:paraId="76292F43" w14:textId="77777777" w:rsidR="0082024F" w:rsidRDefault="0082024F" w:rsidP="0082024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right="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§ 2.</w:t>
      </w:r>
      <w:r>
        <w:rPr>
          <w:rFonts w:ascii="Times New Roman" w:hAnsi="Times New Roman"/>
          <w:sz w:val="24"/>
          <w:szCs w:val="24"/>
        </w:rPr>
        <w:t xml:space="preserve"> Wykonanie uchwały powierza się Burmistrzowi  Miasta i Gminy Mrocza. </w:t>
      </w:r>
    </w:p>
    <w:p w14:paraId="25071E71" w14:textId="77777777" w:rsidR="0082024F" w:rsidRDefault="0082024F" w:rsidP="0082024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right="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§ 3.</w:t>
      </w:r>
      <w:r>
        <w:rPr>
          <w:rFonts w:ascii="Times New Roman" w:hAnsi="Times New Roman"/>
          <w:sz w:val="24"/>
          <w:szCs w:val="24"/>
        </w:rPr>
        <w:t xml:space="preserve"> Uchwała wchodzi w życie z dniem podjęcia i podlega ogłoszeniu w sposób zwyczajowo przyjęty na terenie Gminy Mrocza.</w:t>
      </w:r>
    </w:p>
    <w:p w14:paraId="1D27ADB2" w14:textId="77777777" w:rsidR="0082024F" w:rsidRDefault="0082024F" w:rsidP="00820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3F3492" w14:textId="77777777" w:rsidR="0082024F" w:rsidRDefault="0082024F" w:rsidP="0082024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ind w:right="23"/>
        <w:jc w:val="both"/>
        <w:rPr>
          <w:rFonts w:ascii="Times New Roman" w:hAnsi="Times New Roman"/>
          <w:sz w:val="24"/>
          <w:szCs w:val="24"/>
        </w:rPr>
      </w:pPr>
    </w:p>
    <w:p w14:paraId="11D093A4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09BCC2D0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298A5CF0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3C1C1F95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1DF45A0B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422F1357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2305C50D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2F655266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5D16E241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51F2B13A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6685E133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391D4748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Zmiany tekstu jednolitego wymienionej ustawy zostały ogłoszone Dz.U. z 2019r. poz.1309, poz. 1571,  </w:t>
      </w:r>
      <w:r>
        <w:rPr>
          <w:rFonts w:ascii="Times New Roman" w:hAnsi="Times New Roman"/>
          <w:sz w:val="20"/>
          <w:szCs w:val="20"/>
        </w:rPr>
        <w:br/>
        <w:t xml:space="preserve">poz. 1696, i poz. 1815. </w:t>
      </w:r>
      <w:r>
        <w:rPr>
          <w:rFonts w:ascii="Times New Roman" w:hAnsi="Times New Roman"/>
          <w:sz w:val="20"/>
          <w:szCs w:val="20"/>
        </w:rPr>
        <w:br/>
        <w:t xml:space="preserve">Zmiany tekstu jednolitego wymienionej ustawy zostały ogłoszone Dz.U. z 2019r. poz.1622, poz. 1649 </w:t>
      </w:r>
      <w:r>
        <w:rPr>
          <w:rFonts w:ascii="Times New Roman" w:hAnsi="Times New Roman"/>
          <w:sz w:val="20"/>
          <w:szCs w:val="20"/>
        </w:rPr>
        <w:br/>
        <w:t>i poz. 2020.</w:t>
      </w:r>
    </w:p>
    <w:p w14:paraId="33446242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17A544B" w14:textId="77777777" w:rsidR="0082024F" w:rsidRDefault="0082024F" w:rsidP="008202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Uzasadnienie</w:t>
      </w:r>
    </w:p>
    <w:p w14:paraId="2D00A4AD" w14:textId="5D96384F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Zmian w </w:t>
      </w:r>
      <w:r w:rsidR="003D7DF7"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ieloletniej Prognozie Finansowej dokonano ze względu na zmiany w planie finansowym dochodów i wydatków wynikającej z uchwały zmieniającej budżet.</w:t>
      </w:r>
    </w:p>
    <w:p w14:paraId="0CBA5C1D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Dochody bieżące zwiększone zostały o kwotę 57.669,04 z tytułu:</w:t>
      </w:r>
    </w:p>
    <w:p w14:paraId="646C8126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opłaty wpisowej za udział w Biegu „Tropem Wilczym. Bieg Pamięci Żołnierzy Wyklętych” w kwocie 4.720,00 zł;</w:t>
      </w:r>
    </w:p>
    <w:p w14:paraId="31A38CFC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pozostałych dochodów w kwocie 52.949,04 zł tj. z tytułu rozliczeń z lat ubiegłych.</w:t>
      </w:r>
    </w:p>
    <w:p w14:paraId="6A6474E3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Wydatki bieżące zostały zwiększone o kwotę 74.814,26 zł z tego:</w:t>
      </w:r>
    </w:p>
    <w:p w14:paraId="2AE52466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wydatki związane z realizacją statutowych zadań o kwotę 50.301,58 zł</w:t>
      </w:r>
    </w:p>
    <w:p w14:paraId="33B2212A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Wydatki majątkowe zostały zmniejszone o kwotę 56.460,00 zł w wyniku wprowadzenia zmian w następujących zadaniach inwestycyjnych:</w:t>
      </w:r>
    </w:p>
    <w:p w14:paraId="53AF265E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Rozbudowa drogi gminnej Nr 090732C ( km 0+000,00 do km 0+352,76 ) - ul. Zielonej oraz drogi gminnej Nr 0900170C ( km 0+005,90 do km 0+289,40 ) - ul. Łąkowej w Mroczy – zmniejszenie o kwotę 16.225,00 zł;</w:t>
      </w:r>
    </w:p>
    <w:p w14:paraId="015FC363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Remont nawierzchni drogi gminnej Nr 090125C od km 0+00 do km 0+574,45 oraz remont nawierzchni drogi gminnej Nr 090125C od km 0+574,45 do km 1+562,57  w miejscowości Samsieczynek – zmniejszenie o kwotę 2.200,00 zł;</w:t>
      </w:r>
    </w:p>
    <w:p w14:paraId="51D75B45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Rozbudowa drogi gminnej Nr 090729C ( km 0+000,00 do km 0+159,60 ) - ul. Wodnej </w:t>
      </w:r>
      <w:r>
        <w:rPr>
          <w:rFonts w:ascii="Times New Roman" w:hAnsi="Times New Roman"/>
          <w:sz w:val="24"/>
          <w:szCs w:val="24"/>
        </w:rPr>
        <w:br/>
        <w:t>w Mroczy – zmniejszenie o kwotę 23.925,00 zł;</w:t>
      </w:r>
    </w:p>
    <w:p w14:paraId="4DD549A6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Przebudowa drogi gminnej Nr 090727C ( km 0+009,40 do km 0+170,80 ) - ul. Śluzowej </w:t>
      </w:r>
      <w:r>
        <w:rPr>
          <w:rFonts w:ascii="Times New Roman" w:hAnsi="Times New Roman"/>
          <w:sz w:val="24"/>
          <w:szCs w:val="24"/>
        </w:rPr>
        <w:br/>
        <w:t>w Mroczy – zmniejszenie o kwotę 10.010,00 zł;</w:t>
      </w:r>
    </w:p>
    <w:p w14:paraId="0A77339C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e. Przebudowa drogi gminnej Nr 090106C ( km 0+008,50 do km 1+026,50 ) w Wielu, gmina Mrocza –  zmniejszenie o kwotę 6.600,00 zł;</w:t>
      </w:r>
    </w:p>
    <w:p w14:paraId="1A039408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f. Centrum aktywizacji społecznej w Witosławiu – zwiększenie o kwotę 2.500,00 zł.</w:t>
      </w:r>
    </w:p>
    <w:p w14:paraId="1652BEC4" w14:textId="3A5B2283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Zmniejsza się deficyt o kwotę 39.314,78 zł w wyniku niższych przychodów z tytułu przychodów jednostek samorządu terytorialnego z niewykorzystanych środków pieniężnych na rachunku bieżącym budżetu, wynikających z rozliczenia dochodów i wydatków nimi finansowanych związanych ze szczególnymi zasadami wykonywania budżetu określonymi </w:t>
      </w:r>
      <w:r>
        <w:rPr>
          <w:rFonts w:ascii="Times New Roman" w:hAnsi="Times New Roman"/>
          <w:sz w:val="24"/>
          <w:szCs w:val="24"/>
        </w:rPr>
        <w:br/>
        <w:t xml:space="preserve">w odrębnych ustawach w kwocie 58.960,00 zł; niższych przychodów z tytułu opłat </w:t>
      </w:r>
      <w:r>
        <w:rPr>
          <w:rFonts w:ascii="Times New Roman" w:hAnsi="Times New Roman"/>
          <w:sz w:val="24"/>
          <w:szCs w:val="24"/>
        </w:rPr>
        <w:br/>
        <w:t xml:space="preserve">za zezwolenie na sprzedaż napojów alkoholowych w 2019 roku niż zaplanowano o kwotę 4.867,46 zł oraz wprowadzenia przychodów z tytułu przychodów jednostek samorządu terytorialnego z wynikających z rozliczenia środków określonych w art. 5 ust. 1 pkt 2 ustawy </w:t>
      </w:r>
      <w:r w:rsidR="00F46FF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i dotacji na realizację programu, projektu lub zadania finansowanego z udziałem tych środków.</w:t>
      </w:r>
    </w:p>
    <w:p w14:paraId="5547C338" w14:textId="719F7A4C" w:rsidR="003D7DF7" w:rsidRDefault="003D7DF7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Zwiększonych p</w:t>
      </w:r>
      <w:r>
        <w:rPr>
          <w:rFonts w:ascii="Times New Roman" w:hAnsi="Times New Roman"/>
          <w:sz w:val="24"/>
          <w:szCs w:val="20"/>
        </w:rPr>
        <w:t>rzychod</w:t>
      </w:r>
      <w:r>
        <w:rPr>
          <w:rFonts w:ascii="Times New Roman" w:hAnsi="Times New Roman"/>
          <w:sz w:val="24"/>
          <w:szCs w:val="20"/>
        </w:rPr>
        <w:t>ów</w:t>
      </w:r>
      <w:r>
        <w:rPr>
          <w:rFonts w:ascii="Times New Roman" w:hAnsi="Times New Roman"/>
          <w:sz w:val="24"/>
          <w:szCs w:val="20"/>
        </w:rPr>
        <w:t xml:space="preserve"> jednostek samorządu terytorialnego z wynikających z rozliczenia środków określonych w art. 5 ust. 1 pkt 2 ustawy i dotacji na realizację programu, projektu </w:t>
      </w:r>
      <w:r>
        <w:rPr>
          <w:rFonts w:ascii="Times New Roman" w:hAnsi="Times New Roman"/>
          <w:sz w:val="24"/>
          <w:szCs w:val="20"/>
        </w:rPr>
        <w:br/>
      </w:r>
      <w:r>
        <w:rPr>
          <w:rFonts w:ascii="Times New Roman" w:hAnsi="Times New Roman"/>
          <w:sz w:val="24"/>
          <w:szCs w:val="20"/>
        </w:rPr>
        <w:t>lub zadania finansowanego z udziałem tych środków</w:t>
      </w:r>
      <w:r>
        <w:rPr>
          <w:rFonts w:ascii="Times New Roman" w:hAnsi="Times New Roman"/>
          <w:sz w:val="24"/>
          <w:szCs w:val="20"/>
        </w:rPr>
        <w:t xml:space="preserve"> o kwotę 24.512,68 zł.</w:t>
      </w:r>
      <w:bookmarkStart w:id="0" w:name="_GoBack"/>
      <w:bookmarkEnd w:id="0"/>
    </w:p>
    <w:p w14:paraId="7F6D2018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Plan po zmianach przychodów i rozchodów wynosi:</w:t>
      </w:r>
    </w:p>
    <w:p w14:paraId="18753015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Przychody </w:t>
      </w:r>
      <w:r>
        <w:rPr>
          <w:rFonts w:ascii="Times New Roman" w:hAnsi="Times New Roman"/>
          <w:bCs/>
          <w:sz w:val="24"/>
          <w:szCs w:val="24"/>
        </w:rPr>
        <w:t>13.712.060,22 zł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2C256BD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Rozchody </w:t>
      </w:r>
      <w:r>
        <w:rPr>
          <w:rFonts w:ascii="Times New Roman" w:hAnsi="Times New Roman"/>
          <w:bCs/>
          <w:sz w:val="24"/>
          <w:szCs w:val="24"/>
        </w:rPr>
        <w:t>2.875.813,77 zł</w:t>
      </w:r>
    </w:p>
    <w:p w14:paraId="54868AF1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Deficyt 10.836.246,45</w:t>
      </w:r>
    </w:p>
    <w:p w14:paraId="488D2A2C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Źródłem pokrycia deficytu kwocie 10.836.246,45 są: </w:t>
      </w:r>
    </w:p>
    <w:p w14:paraId="6A97C607" w14:textId="0BCBE609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przychody ze sprzedaży innych papierów wartościowych w kwocie </w:t>
      </w:r>
      <w:r>
        <w:rPr>
          <w:rFonts w:ascii="Times New Roman" w:hAnsi="Times New Roman"/>
          <w:bCs/>
          <w:sz w:val="24"/>
          <w:szCs w:val="24"/>
        </w:rPr>
        <w:t>8.763.616,23 zł</w:t>
      </w:r>
      <w:r>
        <w:rPr>
          <w:rFonts w:ascii="Times New Roman" w:hAnsi="Times New Roman"/>
          <w:sz w:val="24"/>
          <w:szCs w:val="24"/>
        </w:rPr>
        <w:t xml:space="preserve">, - przychody z niewykorzystanych środków pieniężnych na rachunku bieżącym, wynikających </w:t>
      </w:r>
      <w:r>
        <w:rPr>
          <w:rFonts w:ascii="Times New Roman" w:hAnsi="Times New Roman"/>
          <w:sz w:val="24"/>
          <w:szCs w:val="24"/>
        </w:rPr>
        <w:br/>
        <w:t xml:space="preserve">z rozliczenia dochodów i wydatków nimi finansowanych związanych ze szczególnymi </w:t>
      </w:r>
      <w:r>
        <w:rPr>
          <w:rFonts w:ascii="Times New Roman" w:hAnsi="Times New Roman"/>
          <w:sz w:val="24"/>
          <w:szCs w:val="24"/>
        </w:rPr>
        <w:lastRenderedPageBreak/>
        <w:t xml:space="preserve">zasadami wykonywania budżetu określonymi w odrębnych ustawach, w kwocie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Cs/>
          <w:sz w:val="24"/>
          <w:szCs w:val="24"/>
        </w:rPr>
        <w:t>2.017.985,00 zł</w:t>
      </w:r>
      <w:r>
        <w:rPr>
          <w:rFonts w:ascii="Times New Roman" w:hAnsi="Times New Roman"/>
          <w:sz w:val="24"/>
          <w:szCs w:val="24"/>
        </w:rPr>
        <w:t>;</w:t>
      </w:r>
    </w:p>
    <w:p w14:paraId="5B94F7E6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wolne środki, o których mowa w art. 217 ust. 2 pkt 6 ustawy, w kwocie </w:t>
      </w:r>
      <w:r>
        <w:rPr>
          <w:rFonts w:ascii="Times New Roman" w:hAnsi="Times New Roman"/>
          <w:bCs/>
          <w:sz w:val="24"/>
          <w:szCs w:val="24"/>
        </w:rPr>
        <w:t>30.132,54 zł;</w:t>
      </w:r>
      <w:r>
        <w:rPr>
          <w:rFonts w:ascii="Times New Roman" w:hAnsi="Times New Roman"/>
          <w:bCs/>
          <w:sz w:val="24"/>
          <w:szCs w:val="24"/>
        </w:rPr>
        <w:br/>
        <w:t xml:space="preserve">- </w:t>
      </w:r>
      <w:r>
        <w:rPr>
          <w:rFonts w:ascii="Times New Roman" w:hAnsi="Times New Roman"/>
          <w:sz w:val="24"/>
          <w:szCs w:val="24"/>
        </w:rPr>
        <w:t>przychody jednostek samorządu terytorialnego z wynikających z rozliczenia środków określonych w art. 5 ust. 1 pkt 2 ustawy i dotacji na realizację programu, projektu lub zadania finansowanego z udziałem tych środków w kwocie 24.512,68 zł.</w:t>
      </w:r>
    </w:p>
    <w:p w14:paraId="7CF707F8" w14:textId="77777777" w:rsidR="0082024F" w:rsidRDefault="0082024F" w:rsidP="0082024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Dług Gminy Mrocza wynosi </w:t>
      </w:r>
      <w:r>
        <w:rPr>
          <w:rFonts w:ascii="Times New Roman" w:hAnsi="Times New Roman"/>
          <w:bCs/>
          <w:sz w:val="24"/>
          <w:szCs w:val="24"/>
        </w:rPr>
        <w:t>25.144.330,79 zł co stanowi 50% planowanych dochodów.</w:t>
      </w:r>
    </w:p>
    <w:p w14:paraId="2BF9B7FF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latach 2020-2038 przedstawia się następująco :</w:t>
      </w:r>
    </w:p>
    <w:p w14:paraId="261471B4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2020 –  25.144.330,79 zł,</w:t>
      </w:r>
    </w:p>
    <w:p w14:paraId="795AC57A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2021 –  27.515.895,65 zł,</w:t>
      </w:r>
    </w:p>
    <w:p w14:paraId="2A56D747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2022 –  26.165.504,23 zł,</w:t>
      </w:r>
    </w:p>
    <w:p w14:paraId="608D7F4E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2023 –  24.620.427,51 zł,</w:t>
      </w:r>
    </w:p>
    <w:p w14:paraId="2F59BC3D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2024 –  22.424.732,70 zł,</w:t>
      </w:r>
    </w:p>
    <w:p w14:paraId="20972F07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2025 –  20.727.797,10 zł,</w:t>
      </w:r>
    </w:p>
    <w:p w14:paraId="62F3E23A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2026 –  19.130.000,00 zł,</w:t>
      </w:r>
    </w:p>
    <w:p w14:paraId="413ABE3C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2027 –  17.620.000,00 zł,</w:t>
      </w:r>
    </w:p>
    <w:p w14:paraId="05A0E49C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2028  -  16.110.000,00 zł,</w:t>
      </w:r>
    </w:p>
    <w:p w14:paraId="086EDBDD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2029 -   14.540.000,00 zł,</w:t>
      </w:r>
    </w:p>
    <w:p w14:paraId="1FF560B0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2030  -  12.920.000,00 zł,</w:t>
      </w:r>
    </w:p>
    <w:p w14:paraId="238B0AA5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2031  -  11.200.000,00 zł,</w:t>
      </w:r>
    </w:p>
    <w:p w14:paraId="28241317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2032  -    9.600.000,00 zł,</w:t>
      </w:r>
    </w:p>
    <w:p w14:paraId="0AFD2736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2033  -    8.000.000,00 zł,</w:t>
      </w:r>
    </w:p>
    <w:p w14:paraId="2CD5EB88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2034  -    6.400.000,00 zł,</w:t>
      </w:r>
    </w:p>
    <w:p w14:paraId="25B97AA1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2035  -    4.800.000,00 zł,</w:t>
      </w:r>
    </w:p>
    <w:p w14:paraId="57A22B22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2036  -    3.200.000,00 zł,</w:t>
      </w:r>
    </w:p>
    <w:p w14:paraId="035D9D7C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rok 2037  -    1.600.000,00 zł.</w:t>
      </w:r>
    </w:p>
    <w:p w14:paraId="396F4144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okres sporządzania Wieloletniej Prognozy Finansowej zachowana jest relacja spłaty zobowiązań określona w art. 243 ustawy.</w:t>
      </w:r>
    </w:p>
    <w:p w14:paraId="7C278F69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</w:t>
      </w:r>
      <w:r>
        <w:rPr>
          <w:rFonts w:ascii="Times New Roman" w:hAnsi="Times New Roman"/>
          <w:bCs/>
          <w:sz w:val="24"/>
          <w:szCs w:val="24"/>
        </w:rPr>
        <w:t xml:space="preserve"> W wykazie przedsięwzięć stanowiącym załącznik nr 2 do niniejszej uchwały dokonano następujących zmian:</w:t>
      </w:r>
    </w:p>
    <w:p w14:paraId="14B5BAD0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a.</w:t>
      </w:r>
      <w:r>
        <w:rPr>
          <w:rFonts w:ascii="Times New Roman" w:hAnsi="Times New Roman"/>
          <w:bCs/>
          <w:sz w:val="24"/>
          <w:szCs w:val="24"/>
        </w:rPr>
        <w:t xml:space="preserve"> w ramach wydatków bieżących na programy, projekty lub zadania związane z programami realizowanymi z udziałem środków, o których mowa w art. 5 ust. 1 pkt 2 i 3 ustawy </w:t>
      </w:r>
      <w:r>
        <w:rPr>
          <w:rFonts w:ascii="Times New Roman" w:hAnsi="Times New Roman"/>
          <w:bCs/>
          <w:sz w:val="24"/>
          <w:szCs w:val="24"/>
        </w:rPr>
        <w:br/>
        <w:t>o finansach publicznych:</w:t>
      </w:r>
    </w:p>
    <w:p w14:paraId="1ACC8738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zwiększa się limit zadania w 2020 r. pn. Dobra szkoła w gminie Mrocza o kwotę </w:t>
      </w:r>
      <w:r>
        <w:rPr>
          <w:rFonts w:ascii="Times New Roman" w:hAnsi="Times New Roman"/>
          <w:bCs/>
          <w:sz w:val="24"/>
          <w:szCs w:val="24"/>
        </w:rPr>
        <w:br/>
        <w:t>14.334,43 zł tj. do kwoty 120.864,43 zł. Limit zobowiązań do zadania wynosi 120.864,43 zł,</w:t>
      </w:r>
    </w:p>
    <w:p w14:paraId="336C3806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b.</w:t>
      </w:r>
      <w:r>
        <w:rPr>
          <w:rFonts w:ascii="Times New Roman" w:hAnsi="Times New Roman"/>
          <w:bCs/>
          <w:sz w:val="24"/>
          <w:szCs w:val="24"/>
        </w:rPr>
        <w:t xml:space="preserve"> w ramach wydatków bieżących na programy, projekty lub zadania związane z programami realizowanymi z udziałem środków, o których mowa w art. 5 ust. 1 pkt 2 i 3 ustawy</w:t>
      </w:r>
      <w:r>
        <w:rPr>
          <w:rFonts w:ascii="Times New Roman" w:hAnsi="Times New Roman"/>
          <w:bCs/>
          <w:sz w:val="24"/>
          <w:szCs w:val="24"/>
        </w:rPr>
        <w:br/>
        <w:t>o finansach publicznych:</w:t>
      </w:r>
    </w:p>
    <w:p w14:paraId="59AE1F5C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zwiększa się limit zadania w 2020 r. pn. Centrum aktywizacji społecznej w Witosławiu </w:t>
      </w:r>
      <w:r>
        <w:rPr>
          <w:rFonts w:ascii="Times New Roman" w:hAnsi="Times New Roman"/>
          <w:bCs/>
          <w:sz w:val="24"/>
          <w:szCs w:val="24"/>
        </w:rPr>
        <w:br/>
        <w:t>o kwotę 2.500,00 zł tj. do kwoty 1.495.433,66 zł. Limit zobowiązań do powyższego zadania wynosi 2.182.449,59 zł.</w:t>
      </w:r>
    </w:p>
    <w:p w14:paraId="07F5FCD1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c.</w:t>
      </w:r>
      <w:r>
        <w:rPr>
          <w:rFonts w:ascii="Times New Roman" w:hAnsi="Times New Roman"/>
          <w:bCs/>
          <w:sz w:val="24"/>
          <w:szCs w:val="24"/>
        </w:rPr>
        <w:t xml:space="preserve"> w ramach wydatków majątkowych na programy, projekty lub zadania pozostałe zmniejsza się limit w 2020 r. dla poniższych zadań:</w:t>
      </w:r>
    </w:p>
    <w:p w14:paraId="02F0A317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Rozbudowa drogi gminnej Nr 090732C ( km 0+000,00 do km 0+352,76 ) - ul. Zielonej oraz drogi gminnej Nr 0900170C ( km 0+005,90 do km 0+289,40 ) - ul. Łąkowej w Mroczy – zmniejszenie limitu o kwotę 16.225,00 zł. Po zmianie limit na 2020 r. wynosi 1.823.346,41 zł.</w:t>
      </w:r>
    </w:p>
    <w:p w14:paraId="64AD4F91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Remont nawierzchni drogi gminnej Nr 090125C od km 0+00 do km 0+574,45 oraz remont nawierzchni drogi gminnej Nr 090125C od km 0+574,45 do km 1+562,57  w miejscowości Samsieczynek – zmniejszenie limitu o kwotę 2.200,00 zł. Po zmianie limit na 2020 r. wynosi 495.434,48 zł.</w:t>
      </w:r>
    </w:p>
    <w:p w14:paraId="67D25FF1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Rozbudowa drogi gminnej Nr 090729C ( km 0+000,00 do km 0+159,60 ) - ul. Wodnej </w:t>
      </w:r>
      <w:r>
        <w:rPr>
          <w:rFonts w:ascii="Times New Roman" w:hAnsi="Times New Roman"/>
          <w:sz w:val="24"/>
          <w:szCs w:val="24"/>
        </w:rPr>
        <w:br/>
        <w:t>w Mroczy – zmniejszenie limitu o kwotę 23.925,00 zł. Po zmianie limit na 2020 r. wynosi 666.635,63 zł.</w:t>
      </w:r>
    </w:p>
    <w:p w14:paraId="0CB79179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Przebudowa drogi gminnej Nr 090727C ( km 0+009,40 do km 0+170,80 ) - ul. Śluzowej </w:t>
      </w:r>
      <w:r>
        <w:rPr>
          <w:rFonts w:ascii="Times New Roman" w:hAnsi="Times New Roman"/>
          <w:sz w:val="24"/>
          <w:szCs w:val="24"/>
        </w:rPr>
        <w:br/>
        <w:t>w Mroczy – zmniejszenie limitu o kwotę 10.010,00 zł. Po zmianie limit na 2020 r. wynosi 170.286,80 zł.</w:t>
      </w:r>
    </w:p>
    <w:p w14:paraId="7954782A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Przebudowa drogi gminnej Nr 090106C ( km 0+008,50 do km 1+026,50 ) w Wielu, gmina Mrocza –  zmniejszenie limitu o kwotę 6.600,00 zł. Po zmianie limit na 2020 r. wynosi 826.612,31 zł.</w:t>
      </w:r>
    </w:p>
    <w:p w14:paraId="3892DFB7" w14:textId="77777777" w:rsidR="0082024F" w:rsidRDefault="0082024F" w:rsidP="0082024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 Po dokonaniu zmian limity wydatków, o którym mowa w art. 226 ust. 3 pkt 4 ustawy wynikające  z załącznika przedsięwzięć na lata 2020-2028 w poszczególnych latach </w:t>
      </w:r>
      <w:r>
        <w:rPr>
          <w:rFonts w:ascii="Times New Roman" w:hAnsi="Times New Roman"/>
          <w:sz w:val="24"/>
          <w:szCs w:val="24"/>
        </w:rPr>
        <w:br/>
        <w:t>wynoszą :</w:t>
      </w:r>
    </w:p>
    <w:p w14:paraId="759D3E14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2020 –  18.060.503,06 zł,</w:t>
      </w:r>
    </w:p>
    <w:p w14:paraId="2C6373DC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2021 –    8.138.863,04 zł,</w:t>
      </w:r>
    </w:p>
    <w:p w14:paraId="7E609CA7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2022 –    1.179.791,42 zł,</w:t>
      </w:r>
    </w:p>
    <w:p w14:paraId="5B66BBC9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2023 –    1.189.476,42 zł,</w:t>
      </w:r>
    </w:p>
    <w:p w14:paraId="0F3EF772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2024 –    1.110.094,81 zł,</w:t>
      </w:r>
    </w:p>
    <w:p w14:paraId="7DA799B1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2025 –       556.335,60 zł,</w:t>
      </w:r>
    </w:p>
    <w:p w14:paraId="21C00DDE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2026 –       202.197,10 zł,</w:t>
      </w:r>
    </w:p>
    <w:p w14:paraId="5FE0CD25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2027 –       120.000,00 zł,</w:t>
      </w:r>
    </w:p>
    <w:p w14:paraId="4E2AF9EE" w14:textId="77777777" w:rsidR="0082024F" w:rsidRDefault="0082024F" w:rsidP="0082024F">
      <w:pPr>
        <w:numPr>
          <w:ilvl w:val="0"/>
          <w:numId w:val="1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roku 2028 –       120.000,00 zł.</w:t>
      </w:r>
    </w:p>
    <w:p w14:paraId="0ECEDD10" w14:textId="77777777" w:rsidR="0082024F" w:rsidRDefault="0082024F" w:rsidP="00820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Pozostałe dane w Wieloletniej Prognozie Finansowej zostały uzupełnione zgodnie </w:t>
      </w:r>
      <w:r>
        <w:rPr>
          <w:rFonts w:ascii="Times New Roman" w:hAnsi="Times New Roman"/>
          <w:sz w:val="24"/>
          <w:szCs w:val="24"/>
        </w:rPr>
        <w:br/>
        <w:t>z wymogami rozporządzenia Ministra Finansów z dnia 8 sierpnia 2014 roku zmieniającym rozporządzenie w sprawie wieloletniej prognozy finansowej jednostki samorządu terytorialnego z dnia 10 stycznia 2013 roku (Dz. 2015 poz. 92)</w:t>
      </w:r>
    </w:p>
    <w:p w14:paraId="31036DD4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6B992EA3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6E9F0E23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66EE3658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5BA7C1E2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4DC5D4DD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3984135A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1AE74135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34BD5C1B" w14:textId="77777777" w:rsidR="0082024F" w:rsidRDefault="0082024F" w:rsidP="0082024F">
      <w:pPr>
        <w:rPr>
          <w:rFonts w:ascii="Times New Roman" w:hAnsi="Times New Roman"/>
          <w:sz w:val="24"/>
          <w:szCs w:val="24"/>
        </w:rPr>
      </w:pPr>
    </w:p>
    <w:p w14:paraId="148F67F2" w14:textId="77777777" w:rsidR="00943A0B" w:rsidRDefault="00943A0B"/>
    <w:sectPr w:rsidR="00943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ind w:left="28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64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bullet"/>
      <w:lvlText w:val=""/>
      <w:lvlJc w:val="left"/>
      <w:pPr>
        <w:ind w:left="100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bullet"/>
      <w:lvlText w:val=""/>
      <w:lvlJc w:val="left"/>
      <w:pPr>
        <w:ind w:left="136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bullet"/>
      <w:lvlText w:val=""/>
      <w:lvlJc w:val="left"/>
      <w:pPr>
        <w:ind w:left="172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bullet"/>
      <w:lvlText w:val=""/>
      <w:lvlJc w:val="left"/>
      <w:pPr>
        <w:ind w:left="208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bullet"/>
      <w:lvlText w:val=""/>
      <w:lvlJc w:val="left"/>
      <w:pPr>
        <w:ind w:left="244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bullet"/>
      <w:lvlText w:val=""/>
      <w:lvlJc w:val="left"/>
      <w:pPr>
        <w:ind w:left="280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bullet"/>
      <w:lvlText w:val=""/>
      <w:lvlJc w:val="left"/>
      <w:pPr>
        <w:ind w:left="3164" w:hanging="284"/>
      </w:pPr>
      <w:rPr>
        <w:rFonts w:ascii="Symbol" w:hAnsi="Symbol" w:cs="Symbol" w:hint="default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C1"/>
    <w:rsid w:val="003D7DF7"/>
    <w:rsid w:val="00763377"/>
    <w:rsid w:val="0082024F"/>
    <w:rsid w:val="00921FC1"/>
    <w:rsid w:val="00943A0B"/>
    <w:rsid w:val="00F4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2B2A"/>
  <w15:chartTrackingRefBased/>
  <w15:docId w15:val="{5537988D-BDE7-4E14-85B9-0F2F1FBA1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24F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9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1287</Words>
  <Characters>7727</Characters>
  <Application>Microsoft Office Word</Application>
  <DocSecurity>0</DocSecurity>
  <Lines>64</Lines>
  <Paragraphs>17</Paragraphs>
  <ScaleCrop>false</ScaleCrop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8</cp:revision>
  <dcterms:created xsi:type="dcterms:W3CDTF">2020-01-27T08:33:00Z</dcterms:created>
  <dcterms:modified xsi:type="dcterms:W3CDTF">2020-01-27T11:57:00Z</dcterms:modified>
</cp:coreProperties>
</file>